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96524" w14:textId="3E6492A4" w:rsidR="00CE4C37" w:rsidRPr="00917DA6" w:rsidRDefault="00AD69B7" w:rsidP="0019299D">
      <w:pPr>
        <w:jc w:val="both"/>
      </w:pPr>
      <w:r w:rsidRPr="00917DA6">
        <w:t>Mesdames</w:t>
      </w:r>
      <w:r w:rsidR="009653C4" w:rsidRPr="00917DA6">
        <w:t xml:space="preserve"> les directrices</w:t>
      </w:r>
      <w:r w:rsidRPr="00917DA6">
        <w:t>, Messieurs les directeurs d’écoles d’ingénieurs,</w:t>
      </w:r>
    </w:p>
    <w:p w14:paraId="067384DF" w14:textId="5B91653F" w:rsidR="00915F49" w:rsidRPr="00917DA6" w:rsidRDefault="00C742D9" w:rsidP="0019299D">
      <w:pPr>
        <w:jc w:val="both"/>
      </w:pPr>
      <w:r w:rsidRPr="00917DA6">
        <w:t>Dans notre courrier du</w:t>
      </w:r>
      <w:r w:rsidR="00AD69B7" w:rsidRPr="00917DA6">
        <w:t xml:space="preserve"> 6 mars </w:t>
      </w:r>
      <w:r w:rsidRPr="00917DA6">
        <w:t xml:space="preserve">2020, nous faisions part </w:t>
      </w:r>
      <w:r w:rsidR="00CF7F11" w:rsidRPr="00917DA6">
        <w:t xml:space="preserve">à l’ensemble des écoles </w:t>
      </w:r>
      <w:r w:rsidR="00AD69B7" w:rsidRPr="00917DA6">
        <w:t xml:space="preserve">des </w:t>
      </w:r>
      <w:r w:rsidR="00632265" w:rsidRPr="00917DA6">
        <w:t xml:space="preserve">ajustements </w:t>
      </w:r>
      <w:r w:rsidR="00BA75EE" w:rsidRPr="00917DA6">
        <w:t>à envisager dans l’application</w:t>
      </w:r>
      <w:r w:rsidR="00AD69B7" w:rsidRPr="00917DA6">
        <w:t xml:space="preserve"> de R&amp;O afin d’</w:t>
      </w:r>
      <w:r w:rsidRPr="00917DA6">
        <w:t>a</w:t>
      </w:r>
      <w:r w:rsidR="00BA75EE" w:rsidRPr="00917DA6">
        <w:t>dapter vos formations</w:t>
      </w:r>
      <w:r w:rsidR="00B85908" w:rsidRPr="00917DA6">
        <w:t xml:space="preserve"> et leur organisation</w:t>
      </w:r>
      <w:r w:rsidR="00BA75EE" w:rsidRPr="00917DA6">
        <w:t xml:space="preserve"> à </w:t>
      </w:r>
      <w:r w:rsidR="00AD69B7" w:rsidRPr="00917DA6">
        <w:t>l’</w:t>
      </w:r>
      <w:r w:rsidR="00BA75EE" w:rsidRPr="00917DA6">
        <w:t>épidémie COVID-19</w:t>
      </w:r>
      <w:r w:rsidR="00AD69B7" w:rsidRPr="00917DA6">
        <w:t xml:space="preserve">. </w:t>
      </w:r>
      <w:r w:rsidR="00632265" w:rsidRPr="00917DA6">
        <w:t xml:space="preserve">Les écoles qui étaient concernées par un audit en cette période ont </w:t>
      </w:r>
      <w:r w:rsidR="00D8397C" w:rsidRPr="00917DA6">
        <w:t xml:space="preserve">également </w:t>
      </w:r>
      <w:r w:rsidR="00632265" w:rsidRPr="00917DA6">
        <w:t>été contactées individuellement par la CTI afin de modifier la programmation initialement prévue.</w:t>
      </w:r>
    </w:p>
    <w:p w14:paraId="26812DD8" w14:textId="5697BC1F" w:rsidR="00915F49" w:rsidRPr="00917DA6" w:rsidRDefault="00AD69B7" w:rsidP="0019299D">
      <w:pPr>
        <w:jc w:val="both"/>
      </w:pPr>
      <w:r w:rsidRPr="00917DA6">
        <w:t>L’apparition de clusters épidémiques dans certains pays et la nécessité de ne pas s’y déplacer</w:t>
      </w:r>
      <w:r w:rsidR="00C742D9" w:rsidRPr="00917DA6">
        <w:t>,</w:t>
      </w:r>
      <w:r w:rsidRPr="00917DA6">
        <w:t xml:space="preserve"> entrainaient </w:t>
      </w:r>
      <w:r w:rsidR="005A5B07" w:rsidRPr="00917DA6">
        <w:t xml:space="preserve">déjà </w:t>
      </w:r>
      <w:r w:rsidRPr="00917DA6">
        <w:t xml:space="preserve">les premières </w:t>
      </w:r>
      <w:r w:rsidR="00E47653" w:rsidRPr="00917DA6">
        <w:t xml:space="preserve">annulations de stages et créaient les premières difficultés pour la réalisation de la période internationale. Nous avions alors recommandé aux écoles d’assouplir en conséquence l’obligation de mobilité </w:t>
      </w:r>
      <w:r w:rsidR="00B85908" w:rsidRPr="00917DA6">
        <w:t xml:space="preserve">internationale </w:t>
      </w:r>
      <w:r w:rsidR="00E47653" w:rsidRPr="00917DA6">
        <w:t xml:space="preserve">ainsi que la durée obligatoire de stages </w:t>
      </w:r>
      <w:r w:rsidR="005A5B07" w:rsidRPr="00917DA6">
        <w:t xml:space="preserve">tout </w:t>
      </w:r>
      <w:r w:rsidR="00EC7674" w:rsidRPr="00917DA6">
        <w:t xml:space="preserve">en veillant </w:t>
      </w:r>
      <w:r w:rsidR="00E47653" w:rsidRPr="00917DA6">
        <w:t>à la validation des c</w:t>
      </w:r>
      <w:r w:rsidR="005A5B07" w:rsidRPr="00917DA6">
        <w:t>ompétences terminales</w:t>
      </w:r>
      <w:r w:rsidR="00E47653" w:rsidRPr="00917DA6">
        <w:t>.</w:t>
      </w:r>
      <w:r w:rsidR="00915F49" w:rsidRPr="00917DA6">
        <w:t xml:space="preserve"> </w:t>
      </w:r>
      <w:r w:rsidR="00632265" w:rsidRPr="00917DA6">
        <w:t xml:space="preserve">La CTI avait informé les écoles qu’elle-même allait tenir compte lors des audits à venir de cette situation hors du commun et de ses impacts. </w:t>
      </w:r>
    </w:p>
    <w:p w14:paraId="625796D6" w14:textId="7BE869EE" w:rsidR="00632265" w:rsidRPr="00917DA6" w:rsidRDefault="00E47653" w:rsidP="0019299D">
      <w:pPr>
        <w:jc w:val="both"/>
      </w:pPr>
      <w:r w:rsidRPr="00917DA6">
        <w:t>Depuis ce</w:t>
      </w:r>
      <w:r w:rsidR="00915F49" w:rsidRPr="00917DA6">
        <w:t>s échanges avec les écoles</w:t>
      </w:r>
      <w:r w:rsidRPr="00917DA6">
        <w:t>, la situation épidémique</w:t>
      </w:r>
      <w:r w:rsidR="005A5B07" w:rsidRPr="00917DA6">
        <w:t xml:space="preserve"> s’est aggravée et</w:t>
      </w:r>
      <w:r w:rsidRPr="00917DA6">
        <w:t xml:space="preserve"> a conduit le gouvernement à prendre l</w:t>
      </w:r>
      <w:r w:rsidR="00EC7674" w:rsidRPr="00917DA6">
        <w:t xml:space="preserve">a décision </w:t>
      </w:r>
      <w:r w:rsidRPr="00917DA6">
        <w:t>de fermer les établissements d’enseignement supérieur et de mettre en place des mesures de confinement</w:t>
      </w:r>
      <w:r w:rsidR="00006B04" w:rsidRPr="00917DA6">
        <w:t xml:space="preserve"> pour toute la population française</w:t>
      </w:r>
      <w:r w:rsidRPr="00917DA6">
        <w:t xml:space="preserve">. </w:t>
      </w:r>
      <w:r w:rsidR="00632265" w:rsidRPr="00917DA6">
        <w:t xml:space="preserve">La CTI a pris de nouvelles mesures afin d’adapter ses procédures à cette évolution et donne ci-dessous des </w:t>
      </w:r>
      <w:r w:rsidR="000D222F" w:rsidRPr="00917DA6">
        <w:t xml:space="preserve">lignes directrices </w:t>
      </w:r>
      <w:r w:rsidR="00632265" w:rsidRPr="00917DA6">
        <w:t>et des informations sur son positionnement.</w:t>
      </w:r>
    </w:p>
    <w:p w14:paraId="07365AD4" w14:textId="6FB145A2" w:rsidR="00625342" w:rsidRPr="00917DA6" w:rsidRDefault="00625342" w:rsidP="0019299D">
      <w:pPr>
        <w:pStyle w:val="Titre1"/>
        <w:jc w:val="both"/>
        <w:rPr>
          <w:sz w:val="28"/>
          <w:u w:val="single"/>
        </w:rPr>
      </w:pPr>
      <w:r w:rsidRPr="00917DA6">
        <w:rPr>
          <w:sz w:val="28"/>
          <w:u w:val="single"/>
        </w:rPr>
        <w:t>Adaptation des cursus ingénieurs</w:t>
      </w:r>
    </w:p>
    <w:p w14:paraId="4325F39C" w14:textId="62F51E27" w:rsidR="00625342" w:rsidRPr="00917DA6" w:rsidRDefault="00EC2E34" w:rsidP="0019299D">
      <w:pPr>
        <w:jc w:val="both"/>
      </w:pPr>
      <w:r w:rsidRPr="00917DA6">
        <w:t>Nous savons les écoles totalement mobilisées pour assurer la poursuite de leurs missions académiques</w:t>
      </w:r>
      <w:r w:rsidR="00006B04" w:rsidRPr="00917DA6">
        <w:t>. Vous avez</w:t>
      </w:r>
      <w:r w:rsidR="00EC7674" w:rsidRPr="00917DA6">
        <w:t xml:space="preserve"> modifié quasiment </w:t>
      </w:r>
      <w:r w:rsidR="00060C1A" w:rsidRPr="00917DA6">
        <w:t xml:space="preserve">instantanément </w:t>
      </w:r>
      <w:r w:rsidR="00006B04" w:rsidRPr="00917DA6">
        <w:t>vos</w:t>
      </w:r>
      <w:r w:rsidR="00060C1A" w:rsidRPr="00917DA6">
        <w:t xml:space="preserve"> </w:t>
      </w:r>
      <w:r w:rsidR="00952046" w:rsidRPr="00917DA6">
        <w:t>méthodes pédagogiques</w:t>
      </w:r>
      <w:r w:rsidR="00060C1A" w:rsidRPr="00917DA6">
        <w:t xml:space="preserve"> pour passer à un enseignement uniquement en distanciel et </w:t>
      </w:r>
      <w:r w:rsidR="00006B04" w:rsidRPr="00917DA6">
        <w:t>vous êtes confrontés à la nécessité d’adapter</w:t>
      </w:r>
      <w:r w:rsidR="00EC7674" w:rsidRPr="00917DA6">
        <w:t xml:space="preserve"> </w:t>
      </w:r>
      <w:r w:rsidR="00060C1A" w:rsidRPr="00917DA6">
        <w:t>les</w:t>
      </w:r>
      <w:r w:rsidR="00952046" w:rsidRPr="00917DA6">
        <w:t xml:space="preserve"> modalités de réalisation des proje</w:t>
      </w:r>
      <w:r w:rsidR="00904858" w:rsidRPr="00917DA6">
        <w:t xml:space="preserve">ts, des stages, de l’alternance… </w:t>
      </w:r>
      <w:r w:rsidR="00C57ACB" w:rsidRPr="00C57ACB">
        <w:t>Afin de guider les établissements d’enseignement supérieur, la DGESIP a bâti un plan de continuité académique qui rassemble les bonnes pratiques pour l’enseignement à distance, donne des conseils pour accompagner les enseignants-chercheurs, les personnels et les étudiants avec une attention spécifique pour les étudiants en sit</w:t>
      </w:r>
      <w:r w:rsidR="00C57ACB">
        <w:t xml:space="preserve">uation </w:t>
      </w:r>
      <w:r w:rsidR="00562DAA">
        <w:t>délicate</w:t>
      </w:r>
      <w:r w:rsidR="00C57ACB">
        <w:t>, notamment de handicap</w:t>
      </w:r>
      <w:r w:rsidR="00B73A27" w:rsidRPr="00917DA6">
        <w:t xml:space="preserve">, </w:t>
      </w:r>
      <w:r w:rsidR="00C57ACB">
        <w:t xml:space="preserve">et </w:t>
      </w:r>
      <w:r w:rsidR="00041828" w:rsidRPr="00917DA6">
        <w:t xml:space="preserve">rappelle </w:t>
      </w:r>
      <w:r w:rsidR="00DF7E89" w:rsidRPr="00917DA6">
        <w:t>également les règles</w:t>
      </w:r>
      <w:r w:rsidR="00041828" w:rsidRPr="00917DA6">
        <w:t xml:space="preserve"> juridique</w:t>
      </w:r>
      <w:r w:rsidR="00DF7E89" w:rsidRPr="00917DA6">
        <w:t>s et administratives auxquelles il faut se référer</w:t>
      </w:r>
      <w:r w:rsidR="00C2223A" w:rsidRPr="00917DA6">
        <w:t>.</w:t>
      </w:r>
      <w:r w:rsidR="00DC455C" w:rsidRPr="00917DA6">
        <w:t xml:space="preserve"> </w:t>
      </w:r>
      <w:r w:rsidR="00DF7E89" w:rsidRPr="00917DA6">
        <w:t>Dans ce cadre, la CTI recommande aux écoles d’</w:t>
      </w:r>
      <w:r w:rsidR="00B3347A" w:rsidRPr="00917DA6">
        <w:t xml:space="preserve">adopter une approche </w:t>
      </w:r>
      <w:r w:rsidR="00C4780E" w:rsidRPr="00917DA6">
        <w:t xml:space="preserve">pragmatique dont la seule ligne directrice </w:t>
      </w:r>
      <w:r w:rsidR="00946D6A" w:rsidRPr="00917DA6">
        <w:t>doit être</w:t>
      </w:r>
      <w:r w:rsidR="00C4780E" w:rsidRPr="00917DA6">
        <w:t xml:space="preserve"> d</w:t>
      </w:r>
      <w:r w:rsidR="00946D6A" w:rsidRPr="00917DA6">
        <w:t>e veiller à ce que chaque élève-</w:t>
      </w:r>
      <w:r w:rsidR="00C4780E" w:rsidRPr="00917DA6">
        <w:t>i</w:t>
      </w:r>
      <w:r w:rsidR="00946D6A" w:rsidRPr="00917DA6">
        <w:t>ngénieur</w:t>
      </w:r>
      <w:r w:rsidR="0096539E" w:rsidRPr="00917DA6">
        <w:t>, chaque stagiaire de la formation continue,</w:t>
      </w:r>
      <w:r w:rsidR="00946D6A" w:rsidRPr="00917DA6">
        <w:t xml:space="preserve"> puisse au final attester et faire valoir l’acquisition des compétences terminales associées à son diplôme. La CTI </w:t>
      </w:r>
      <w:r w:rsidR="00625342" w:rsidRPr="00917DA6">
        <w:t>souligne</w:t>
      </w:r>
      <w:r w:rsidR="00946D6A" w:rsidRPr="00917DA6">
        <w:t xml:space="preserve"> que les modalités pour mettre en œuvre et valider ces compétences ne sont jamais uniques.</w:t>
      </w:r>
      <w:r w:rsidR="00625342" w:rsidRPr="00917DA6">
        <w:t xml:space="preserve"> Enfin, la CTI rappelle que toutes les mesures exceptionnelles prises dans ce contexte inédit doivent faire l’objet d’une annexe au règlement des études qui devra être présentée aux élèves-ingénieurs et entérinée par les instances de gouvernance compétentes de l’établissement (CEVU, conseil des études, conseil d’administration, conseil d’école…) lors de leurs prochaines réunions.</w:t>
      </w:r>
    </w:p>
    <w:p w14:paraId="16A78E4C" w14:textId="0E323218" w:rsidR="00B3347A" w:rsidRPr="00917DA6" w:rsidRDefault="00DC455C" w:rsidP="0019299D">
      <w:pPr>
        <w:pStyle w:val="Titre2"/>
        <w:jc w:val="both"/>
        <w:rPr>
          <w:sz w:val="28"/>
          <w:szCs w:val="28"/>
          <w:u w:val="single"/>
        </w:rPr>
      </w:pPr>
      <w:r w:rsidRPr="00917DA6">
        <w:rPr>
          <w:sz w:val="28"/>
          <w:szCs w:val="28"/>
          <w:u w:val="single"/>
        </w:rPr>
        <w:t>Pour la mobilité internationale s</w:t>
      </w:r>
      <w:r w:rsidR="000B3F85" w:rsidRPr="00917DA6">
        <w:rPr>
          <w:sz w:val="28"/>
          <w:szCs w:val="28"/>
          <w:u w:val="single"/>
        </w:rPr>
        <w:t>ortante des élèves ingénieurs</w:t>
      </w:r>
    </w:p>
    <w:p w14:paraId="350AA538" w14:textId="5079FAE4" w:rsidR="00DC455C" w:rsidRPr="00917DA6" w:rsidRDefault="00B3347A" w:rsidP="0019299D">
      <w:pPr>
        <w:jc w:val="both"/>
      </w:pPr>
      <w:r w:rsidRPr="00917DA6">
        <w:t xml:space="preserve">La CTI recommande aux écoles de </w:t>
      </w:r>
      <w:r w:rsidR="00DC455C" w:rsidRPr="00917DA6">
        <w:t>lever l’obligation de séjour à l’international pour les élèves-ingénieurs</w:t>
      </w:r>
      <w:r w:rsidRPr="00917DA6">
        <w:t>, étudiants et apprentis,</w:t>
      </w:r>
      <w:r w:rsidR="00DC455C" w:rsidRPr="00917DA6">
        <w:t xml:space="preserve"> actuellement en 2</w:t>
      </w:r>
      <w:r w:rsidR="00DC455C" w:rsidRPr="00917DA6">
        <w:rPr>
          <w:vertAlign w:val="superscript"/>
        </w:rPr>
        <w:t>e</w:t>
      </w:r>
      <w:r w:rsidR="00DC455C" w:rsidRPr="00917DA6">
        <w:t xml:space="preserve"> et 3</w:t>
      </w:r>
      <w:r w:rsidR="00DC455C" w:rsidRPr="00917DA6">
        <w:rPr>
          <w:vertAlign w:val="superscript"/>
        </w:rPr>
        <w:t>e</w:t>
      </w:r>
      <w:r w:rsidR="00DC455C" w:rsidRPr="00917DA6">
        <w:t xml:space="preserve"> année du cursus ingénieur</w:t>
      </w:r>
      <w:r w:rsidR="003F5662" w:rsidRPr="00917DA6">
        <w:t xml:space="preserve">. </w:t>
      </w:r>
      <w:r w:rsidR="00464A97" w:rsidRPr="00917DA6">
        <w:t>Pour c</w:t>
      </w:r>
      <w:r w:rsidR="00D26AE4" w:rsidRPr="00917DA6">
        <w:t>es élèves-</w:t>
      </w:r>
      <w:r w:rsidR="003F5662" w:rsidRPr="00917DA6">
        <w:t xml:space="preserve">ingénieurs qui n’auraient pas déjà réalisé une période à l’étranger d’une durée significative, l’école </w:t>
      </w:r>
      <w:r w:rsidR="00464A97" w:rsidRPr="00917DA6">
        <w:t>leur proposera, dans la mesure du possible,</w:t>
      </w:r>
      <w:r w:rsidR="003F5662" w:rsidRPr="00917DA6">
        <w:t xml:space="preserve"> une activité</w:t>
      </w:r>
      <w:r w:rsidR="00464A97" w:rsidRPr="00917DA6">
        <w:t xml:space="preserve"> académique </w:t>
      </w:r>
      <w:r w:rsidR="00D26AE4" w:rsidRPr="00917DA6">
        <w:t>spécifique</w:t>
      </w:r>
      <w:r w:rsidR="00464A97" w:rsidRPr="00917DA6">
        <w:t xml:space="preserve"> </w:t>
      </w:r>
      <w:r w:rsidR="00E95583" w:rsidRPr="00917DA6">
        <w:t xml:space="preserve">qui pourra par exemple valoriser leurs différentes expositions internationales antérieures </w:t>
      </w:r>
      <w:r w:rsidR="00464A97" w:rsidRPr="00917DA6">
        <w:t xml:space="preserve">afin </w:t>
      </w:r>
      <w:r w:rsidR="00EE59BB" w:rsidRPr="00917DA6">
        <w:t>de développer leur capacité à intégrer un</w:t>
      </w:r>
      <w:r w:rsidR="00464A97" w:rsidRPr="00917DA6">
        <w:t xml:space="preserve"> contexte professionnel international et multiculturel.</w:t>
      </w:r>
      <w:r w:rsidR="003F5662" w:rsidRPr="00917DA6">
        <w:t xml:space="preserve"> </w:t>
      </w:r>
    </w:p>
    <w:p w14:paraId="7471243E" w14:textId="73C5A4E3" w:rsidR="00DC455C" w:rsidRPr="00917DA6" w:rsidRDefault="00CC3077" w:rsidP="0019299D">
      <w:pPr>
        <w:pStyle w:val="Titre2"/>
        <w:jc w:val="both"/>
        <w:rPr>
          <w:sz w:val="28"/>
          <w:szCs w:val="28"/>
          <w:u w:val="single"/>
        </w:rPr>
      </w:pPr>
      <w:r w:rsidRPr="00917DA6">
        <w:rPr>
          <w:sz w:val="28"/>
          <w:szCs w:val="28"/>
          <w:u w:val="single"/>
        </w:rPr>
        <w:lastRenderedPageBreak/>
        <w:t>Pour l</w:t>
      </w:r>
      <w:r w:rsidR="00DC455C" w:rsidRPr="00917DA6">
        <w:rPr>
          <w:sz w:val="28"/>
          <w:szCs w:val="28"/>
          <w:u w:val="single"/>
        </w:rPr>
        <w:t>es st</w:t>
      </w:r>
      <w:r w:rsidRPr="00917DA6">
        <w:rPr>
          <w:sz w:val="28"/>
          <w:szCs w:val="28"/>
          <w:u w:val="single"/>
        </w:rPr>
        <w:t>ages</w:t>
      </w:r>
    </w:p>
    <w:p w14:paraId="3963CAC3" w14:textId="1F5F7346" w:rsidR="00754947" w:rsidRPr="00917DA6" w:rsidRDefault="00CC3077" w:rsidP="0019299D">
      <w:pPr>
        <w:jc w:val="both"/>
      </w:pPr>
      <w:r w:rsidRPr="00917DA6">
        <w:t>La réalisation des stages est particulièrement complexe : stages annulés notamment à l’étranger, stages réalisés à distance, stages reportés … La CTI encourage les écoles à identifier au cas par cas les adaptations à mettre en œuvre qui peuvent aller jusqu’à la neutralisation du stage.</w:t>
      </w:r>
      <w:r w:rsidR="00754947" w:rsidRPr="00917DA6">
        <w:t xml:space="preserve"> La conséquence immédiate est la suspension de la règle de 28 semaines minimum de stages pour l’obtention du diplôme pour les élèves-ingénieurs actuellement en scolarité.</w:t>
      </w:r>
    </w:p>
    <w:p w14:paraId="338842A1" w14:textId="537A3E0B" w:rsidR="00B3347A" w:rsidRPr="00917DA6" w:rsidRDefault="00CC3077" w:rsidP="0019299D">
      <w:pPr>
        <w:jc w:val="both"/>
      </w:pPr>
      <w:r w:rsidRPr="00917DA6">
        <w:t>Là encore, c’est l’acquisition des compétences terminales du diplôme qui doit guider les écoles dans leur choix. En effet, même s’il est essentiel, le stage ne constitue</w:t>
      </w:r>
      <w:r w:rsidR="0048297B" w:rsidRPr="00917DA6">
        <w:t xml:space="preserve"> pas l’unique </w:t>
      </w:r>
      <w:r w:rsidRPr="00917DA6">
        <w:t xml:space="preserve">modalité académique pour valider une compétence </w:t>
      </w:r>
      <w:r w:rsidR="0048297B" w:rsidRPr="00917DA6">
        <w:t>recherche ou une compétence professionnelle. La validation de la compétence recherche</w:t>
      </w:r>
      <w:r w:rsidR="0044729C" w:rsidRPr="00917DA6">
        <w:t xml:space="preserve"> peut par exemple</w:t>
      </w:r>
      <w:r w:rsidR="0048297B" w:rsidRPr="00917DA6">
        <w:t>, dans ce contexte particulier, faire l’objet d’u</w:t>
      </w:r>
      <w:r w:rsidR="00F9301D" w:rsidRPr="00917DA6">
        <w:t>n travail individuel ou à plusieurs</w:t>
      </w:r>
      <w:r w:rsidR="00243299" w:rsidRPr="00917DA6">
        <w:t>, encadré</w:t>
      </w:r>
      <w:r w:rsidR="0048297B" w:rsidRPr="00917DA6">
        <w:t xml:space="preserve"> à distance par des enseignants-chercheurs.</w:t>
      </w:r>
      <w:r w:rsidR="0044729C" w:rsidRPr="00917DA6">
        <w:t xml:space="preserve"> La CTI</w:t>
      </w:r>
      <w:r w:rsidR="00243299" w:rsidRPr="00917DA6">
        <w:t xml:space="preserve"> rappelle que la formation d’ingénieur est une formation professionnalisante et </w:t>
      </w:r>
      <w:r w:rsidR="0044729C" w:rsidRPr="00917DA6">
        <w:t xml:space="preserve">attire l’attention des écoles </w:t>
      </w:r>
      <w:r w:rsidR="00F66326" w:rsidRPr="00917DA6">
        <w:t>sur le stage de fin d’études</w:t>
      </w:r>
      <w:r w:rsidR="0044729C" w:rsidRPr="00917DA6">
        <w:t xml:space="preserve"> qui joue un rôle </w:t>
      </w:r>
      <w:r w:rsidR="00243299" w:rsidRPr="00917DA6">
        <w:t>essentiel dans la mise en œuvre des compétences professionnelles</w:t>
      </w:r>
      <w:r w:rsidR="009D0C7D" w:rsidRPr="00917DA6">
        <w:t xml:space="preserve">, </w:t>
      </w:r>
      <w:r w:rsidR="00243299" w:rsidRPr="00917DA6">
        <w:t>constitue une charnière entre le cursus et l’insertion professionnelle</w:t>
      </w:r>
      <w:r w:rsidR="009D0C7D" w:rsidRPr="00917DA6">
        <w:t xml:space="preserve"> et se prolonge pour de nombreux </w:t>
      </w:r>
      <w:r w:rsidR="00443184" w:rsidRPr="00917DA6">
        <w:t>élèves-ingénieurs</w:t>
      </w:r>
      <w:r w:rsidR="009D0C7D" w:rsidRPr="00917DA6">
        <w:t xml:space="preserve"> par un contrat de travail</w:t>
      </w:r>
      <w:r w:rsidR="00443184" w:rsidRPr="00917DA6">
        <w:t>. Aussi, l</w:t>
      </w:r>
      <w:r w:rsidR="00243299" w:rsidRPr="00917DA6">
        <w:t>a CTI recommande aux écoles de prendre toutes le</w:t>
      </w:r>
      <w:r w:rsidR="00443184" w:rsidRPr="00917DA6">
        <w:t>s dispositions pour favoriser la</w:t>
      </w:r>
      <w:r w:rsidR="00243299" w:rsidRPr="00917DA6">
        <w:t xml:space="preserve"> réalisation </w:t>
      </w:r>
      <w:r w:rsidR="00F66326" w:rsidRPr="00917DA6">
        <w:t>du stage de fin d’études</w:t>
      </w:r>
      <w:r w:rsidR="00443184" w:rsidRPr="00917DA6">
        <w:t xml:space="preserve"> </w:t>
      </w:r>
      <w:r w:rsidR="00243299" w:rsidRPr="00917DA6">
        <w:t>en particulier en</w:t>
      </w:r>
      <w:r w:rsidR="00754947" w:rsidRPr="00917DA6">
        <w:t xml:space="preserve"> adaptant sa durée</w:t>
      </w:r>
      <w:r w:rsidR="00C64E54" w:rsidRPr="00917DA6">
        <w:t>, ses modalités de réalisation (travail à distance, réduction de la durée effective en entreprise en respectant néanmoins un temps suffisant pour une appropriation réelle du contexte professionnel)</w:t>
      </w:r>
      <w:r w:rsidR="00754947" w:rsidRPr="00917DA6">
        <w:t xml:space="preserve"> et en</w:t>
      </w:r>
      <w:r w:rsidR="00243299" w:rsidRPr="00917DA6">
        <w:t xml:space="preserve"> décalant ses dat</w:t>
      </w:r>
      <w:r w:rsidR="00443184" w:rsidRPr="00917DA6">
        <w:t xml:space="preserve">es </w:t>
      </w:r>
      <w:r w:rsidR="001E7A50" w:rsidRPr="00917DA6">
        <w:t xml:space="preserve">de début et de fin </w:t>
      </w:r>
      <w:r w:rsidR="00243299" w:rsidRPr="00917DA6">
        <w:t>qui pourraient déborder sur l’</w:t>
      </w:r>
      <w:r w:rsidR="00324EFC" w:rsidRPr="00917DA6">
        <w:t>année académique suivante. L</w:t>
      </w:r>
      <w:r w:rsidR="00243299" w:rsidRPr="00917DA6">
        <w:t xml:space="preserve">es étudiants </w:t>
      </w:r>
      <w:r w:rsidR="00324EFC" w:rsidRPr="00917DA6">
        <w:t>seraient</w:t>
      </w:r>
      <w:r w:rsidR="00243299" w:rsidRPr="00917DA6">
        <w:t xml:space="preserve"> alors placés en prolongation de scolarité</w:t>
      </w:r>
      <w:r w:rsidR="00582924" w:rsidRPr="00917DA6">
        <w:t>,</w:t>
      </w:r>
      <w:r w:rsidR="00243299" w:rsidRPr="00917DA6">
        <w:t xml:space="preserve"> sans paiement de </w:t>
      </w:r>
      <w:r w:rsidR="00324EFC" w:rsidRPr="00917DA6">
        <w:t>droits d’inscription</w:t>
      </w:r>
      <w:r w:rsidR="00243299" w:rsidRPr="00917DA6">
        <w:t xml:space="preserve"> complémentaire</w:t>
      </w:r>
      <w:r w:rsidR="00324EFC" w:rsidRPr="00917DA6">
        <w:t>s</w:t>
      </w:r>
      <w:r w:rsidR="00B85908" w:rsidRPr="00917DA6">
        <w:t xml:space="preserve"> en conservant le droit de réaliser le stage dans le cadre d’une convention</w:t>
      </w:r>
      <w:r w:rsidR="00582924" w:rsidRPr="00917DA6">
        <w:t xml:space="preserve"> et </w:t>
      </w:r>
      <w:r w:rsidR="00B85908" w:rsidRPr="00917DA6">
        <w:t>sans report d’une année de l’attribution du diplôme</w:t>
      </w:r>
      <w:r w:rsidR="00243299" w:rsidRPr="00917DA6">
        <w:t>.</w:t>
      </w:r>
      <w:r w:rsidR="00582924" w:rsidRPr="00917DA6">
        <w:t xml:space="preserve"> En d’autres termes, l’élève-ingénieur serait diplômé dès validation du stage de fin de formation, toutes les autres activités académiques étant validées par ailleurs.</w:t>
      </w:r>
    </w:p>
    <w:p w14:paraId="0D70E7BE" w14:textId="4C940EDC" w:rsidR="00243299" w:rsidRPr="00917DA6" w:rsidRDefault="00023D82" w:rsidP="0019299D">
      <w:pPr>
        <w:pStyle w:val="Titre2"/>
        <w:jc w:val="both"/>
        <w:rPr>
          <w:sz w:val="28"/>
          <w:szCs w:val="28"/>
          <w:u w:val="single"/>
        </w:rPr>
      </w:pPr>
      <w:r w:rsidRPr="00917DA6">
        <w:rPr>
          <w:sz w:val="28"/>
          <w:szCs w:val="28"/>
          <w:u w:val="single"/>
        </w:rPr>
        <w:t xml:space="preserve">Pour la voie par </w:t>
      </w:r>
      <w:r w:rsidR="000B3F85" w:rsidRPr="00917DA6">
        <w:rPr>
          <w:sz w:val="28"/>
          <w:szCs w:val="28"/>
          <w:u w:val="single"/>
        </w:rPr>
        <w:t>apprentissage</w:t>
      </w:r>
    </w:p>
    <w:p w14:paraId="0EEDF904" w14:textId="4499C032" w:rsidR="00987F89" w:rsidRPr="00917DA6" w:rsidRDefault="00987F89" w:rsidP="0019299D">
      <w:pPr>
        <w:jc w:val="both"/>
      </w:pPr>
      <w:r w:rsidRPr="00917DA6">
        <w:t>Le</w:t>
      </w:r>
      <w:r w:rsidR="00C23695" w:rsidRPr="00917DA6">
        <w:t xml:space="preserve"> ministère du travail et plus particulièrement la DGEFP (Délégation Générale à l'Emploi et à la Formation Professionnelle)</w:t>
      </w:r>
      <w:r w:rsidRPr="00917DA6">
        <w:t xml:space="preserve"> publient régulièrement des recommandations.</w:t>
      </w:r>
      <w:r w:rsidR="00253EC3">
        <w:t xml:space="preserve"> Nous vous invitons à les consulter.</w:t>
      </w:r>
      <w:bookmarkStart w:id="0" w:name="_GoBack"/>
      <w:bookmarkEnd w:id="0"/>
    </w:p>
    <w:p w14:paraId="0622CE8D" w14:textId="0EACEE5C" w:rsidR="00C23695" w:rsidRPr="00917DA6" w:rsidRDefault="00C23695" w:rsidP="0019299D">
      <w:pPr>
        <w:jc w:val="both"/>
      </w:pPr>
      <w:r w:rsidRPr="00917DA6">
        <w:t>Il existe de nombreux cas particuliers (télétravail, chômage partiel, congés p</w:t>
      </w:r>
      <w:r w:rsidR="00987F89" w:rsidRPr="00917DA6">
        <w:t>ayés/JRTT imposés, activités</w:t>
      </w:r>
      <w:r w:rsidRPr="00917DA6">
        <w:t xml:space="preserve">…) et chacun d’eux entraine des situations différentes à gérer par le partenariat </w:t>
      </w:r>
      <w:r w:rsidR="00D05CE6" w:rsidRPr="00917DA6">
        <w:t xml:space="preserve">entre </w:t>
      </w:r>
      <w:r w:rsidR="00987F89" w:rsidRPr="00917DA6">
        <w:t xml:space="preserve">l’école et le CFA en lien avec l’entreprise. </w:t>
      </w:r>
      <w:r w:rsidR="004A5CF5" w:rsidRPr="00917DA6">
        <w:t>La CTI rappelle</w:t>
      </w:r>
      <w:r w:rsidRPr="00917DA6">
        <w:t xml:space="preserve"> que l’applicati</w:t>
      </w:r>
      <w:r w:rsidR="00023D82" w:rsidRPr="00917DA6">
        <w:t>on des calendriers d’alternance</w:t>
      </w:r>
      <w:r w:rsidRPr="00917DA6">
        <w:t xml:space="preserve"> doit être assurée, dans la mesure du possible</w:t>
      </w:r>
      <w:r w:rsidR="00987F89" w:rsidRPr="00917DA6">
        <w:t>,</w:t>
      </w:r>
      <w:r w:rsidRPr="00917DA6">
        <w:t xml:space="preserve"> ainsi que la continuité pédagogique de la formation. Dans les cas particuliers de chômage partiel ou de cessation d’activité, des </w:t>
      </w:r>
      <w:r w:rsidR="004A5CF5" w:rsidRPr="00917DA6">
        <w:t>activités</w:t>
      </w:r>
      <w:r w:rsidRPr="00917DA6">
        <w:t xml:space="preserve"> permettant </w:t>
      </w:r>
      <w:r w:rsidR="00023D82" w:rsidRPr="00917DA6">
        <w:t xml:space="preserve">aux apprentis </w:t>
      </w:r>
      <w:r w:rsidRPr="00917DA6">
        <w:t>d’acqu</w:t>
      </w:r>
      <w:r w:rsidR="00C629BC" w:rsidRPr="00917DA6">
        <w:t xml:space="preserve">érir les compétences manquantes </w:t>
      </w:r>
      <w:r w:rsidR="00023D82" w:rsidRPr="00917DA6">
        <w:t xml:space="preserve">doivent </w:t>
      </w:r>
      <w:r w:rsidR="004A5CF5" w:rsidRPr="00917DA6">
        <w:t>être proposé</w:t>
      </w:r>
      <w:r w:rsidR="00023D82" w:rsidRPr="00917DA6">
        <w:t>e</w:t>
      </w:r>
      <w:r w:rsidR="004A5CF5" w:rsidRPr="00917DA6">
        <w:t>s par l’é</w:t>
      </w:r>
      <w:r w:rsidRPr="00917DA6">
        <w:t xml:space="preserve">cole </w:t>
      </w:r>
      <w:r w:rsidR="00023D82" w:rsidRPr="00917DA6">
        <w:t>en lien avec</w:t>
      </w:r>
      <w:r w:rsidRPr="00917DA6">
        <w:t xml:space="preserve"> le CFA.</w:t>
      </w:r>
      <w:r w:rsidR="0068769F" w:rsidRPr="00917DA6">
        <w:t xml:space="preserve"> La CTI insiste, enfin, sur le fait que la durée initiale du contrat d’apprentissage doit être respectée sans prolongation et invite les écoles à focaliser l’évaluation</w:t>
      </w:r>
      <w:r w:rsidR="00C629BC" w:rsidRPr="00917DA6">
        <w:t xml:space="preserve"> finale</w:t>
      </w:r>
      <w:r w:rsidR="0068769F" w:rsidRPr="00917DA6">
        <w:t xml:space="preserve"> de la mission en entreprise sur les aspects méthodologiques si les résultats attendus ne peuvent être obtenus.</w:t>
      </w:r>
    </w:p>
    <w:p w14:paraId="121102E1" w14:textId="3C97CBF6" w:rsidR="0058221A" w:rsidRPr="00917DA6" w:rsidRDefault="0058221A" w:rsidP="0019299D">
      <w:pPr>
        <w:pStyle w:val="Titre2"/>
        <w:jc w:val="both"/>
        <w:rPr>
          <w:sz w:val="28"/>
          <w:szCs w:val="28"/>
        </w:rPr>
      </w:pPr>
      <w:r w:rsidRPr="00917DA6">
        <w:rPr>
          <w:sz w:val="28"/>
          <w:szCs w:val="28"/>
          <w:u w:val="single"/>
        </w:rPr>
        <w:t>Pour l’accompagnement des é</w:t>
      </w:r>
      <w:r w:rsidR="00E50A15" w:rsidRPr="00917DA6">
        <w:rPr>
          <w:sz w:val="28"/>
          <w:szCs w:val="28"/>
          <w:u w:val="single"/>
        </w:rPr>
        <w:t>lèves</w:t>
      </w:r>
      <w:r w:rsidR="00D8397C" w:rsidRPr="00917DA6">
        <w:rPr>
          <w:sz w:val="28"/>
          <w:szCs w:val="28"/>
          <w:u w:val="single"/>
        </w:rPr>
        <w:t>-</w:t>
      </w:r>
      <w:r w:rsidR="00E50A15" w:rsidRPr="00917DA6">
        <w:rPr>
          <w:sz w:val="28"/>
          <w:szCs w:val="28"/>
          <w:u w:val="single"/>
        </w:rPr>
        <w:t>ingénieurs</w:t>
      </w:r>
    </w:p>
    <w:p w14:paraId="523D2105" w14:textId="23E13AA6" w:rsidR="00DA02AB" w:rsidRPr="00917DA6" w:rsidRDefault="005D58CD" w:rsidP="0019299D">
      <w:pPr>
        <w:jc w:val="both"/>
      </w:pPr>
      <w:r w:rsidRPr="00917DA6">
        <w:t>Conformément aux chapitres C.5.4 et C.6 de R&amp;O, l</w:t>
      </w:r>
      <w:r w:rsidR="00DA02AB" w:rsidRPr="00917DA6">
        <w:t xml:space="preserve">a CTI </w:t>
      </w:r>
      <w:r w:rsidR="00760469" w:rsidRPr="00917DA6">
        <w:t xml:space="preserve">attire l’attention des écoles sur le maintien de </w:t>
      </w:r>
      <w:r w:rsidR="00DA02AB" w:rsidRPr="00917DA6">
        <w:t xml:space="preserve">la qualité de vie de leurs élèves </w:t>
      </w:r>
      <w:r w:rsidRPr="00917DA6">
        <w:t xml:space="preserve">ingénieurs </w:t>
      </w:r>
      <w:r w:rsidR="00DA02AB" w:rsidRPr="00917DA6">
        <w:t xml:space="preserve">et </w:t>
      </w:r>
      <w:r w:rsidR="00760469" w:rsidRPr="00917DA6">
        <w:t>leur demande</w:t>
      </w:r>
      <w:r w:rsidR="00DA02AB" w:rsidRPr="00917DA6">
        <w:t xml:space="preserve"> </w:t>
      </w:r>
      <w:r w:rsidR="00760469" w:rsidRPr="00917DA6">
        <w:t xml:space="preserve">tout particulièrement </w:t>
      </w:r>
      <w:r w:rsidR="00DA02AB" w:rsidRPr="00917DA6">
        <w:t>d’assurer un accompagnement adapté pour les é</w:t>
      </w:r>
      <w:r w:rsidRPr="00917DA6">
        <w:t>tudiants</w:t>
      </w:r>
      <w:r w:rsidR="00DA02AB" w:rsidRPr="00917DA6">
        <w:t xml:space="preserve"> isolés pendant la période de confinement.</w:t>
      </w:r>
      <w:r w:rsidR="00760469" w:rsidRPr="00917DA6">
        <w:t xml:space="preserve"> Pendant et à la fin de cette période, elle doit mettre en place des dispositifs de suivi individuel de validation des acquis de l’apprentissage afin d’éviter des échecs dus à la crise actuelle.</w:t>
      </w:r>
    </w:p>
    <w:p w14:paraId="40FF67B4" w14:textId="77CC74BE" w:rsidR="00C23695" w:rsidRPr="00917DA6" w:rsidRDefault="00204AED" w:rsidP="0019299D">
      <w:pPr>
        <w:pStyle w:val="Titre1"/>
        <w:jc w:val="both"/>
        <w:rPr>
          <w:sz w:val="28"/>
          <w:u w:val="single"/>
        </w:rPr>
      </w:pPr>
      <w:r w:rsidRPr="00917DA6">
        <w:rPr>
          <w:sz w:val="28"/>
          <w:u w:val="single"/>
        </w:rPr>
        <w:lastRenderedPageBreak/>
        <w:t>Adaptation des procédures de la CTI pour les demandes et le renouvellement d’acc</w:t>
      </w:r>
      <w:bookmarkStart w:id="1" w:name="_Hlk36058296"/>
      <w:r w:rsidRPr="00917DA6">
        <w:rPr>
          <w:sz w:val="28"/>
          <w:u w:val="single"/>
        </w:rPr>
        <w:t>rédita</w:t>
      </w:r>
      <w:bookmarkEnd w:id="1"/>
      <w:r w:rsidRPr="00917DA6">
        <w:rPr>
          <w:sz w:val="28"/>
          <w:u w:val="single"/>
        </w:rPr>
        <w:t xml:space="preserve">tion </w:t>
      </w:r>
    </w:p>
    <w:p w14:paraId="7DF75311" w14:textId="77777777" w:rsidR="000D4347" w:rsidRPr="00917DA6" w:rsidRDefault="0073133D" w:rsidP="0019299D">
      <w:pPr>
        <w:jc w:val="both"/>
      </w:pPr>
      <w:r w:rsidRPr="00917DA6">
        <w:t xml:space="preserve">En ce qui concerne la programmation des audits de la campagne en cours (2019-2020) et de la suivante (2020-2021), un certain nombre de visites programmées au sein des établissements ont dû être reportées. Nous souhaitons informer les écoles concernées que la CTI travaille actuellement à une nouvelle programmation de ces audits et reviendra prochainement vers elles avec de nouvelles propositions de dates à la fois pour les visites et pour la présentation des dossiers en séance plénière. Nous estimons que les visites pourront probablement </w:t>
      </w:r>
      <w:r w:rsidR="002649BA" w:rsidRPr="00917DA6">
        <w:t xml:space="preserve">reprendre </w:t>
      </w:r>
      <w:r w:rsidRPr="00917DA6">
        <w:t>à partir du mois de juillet prochain</w:t>
      </w:r>
      <w:r w:rsidR="002649BA" w:rsidRPr="00917DA6">
        <w:t> ; elles sont pour le moment interrompues jusqu’à nouvel ordre</w:t>
      </w:r>
      <w:r w:rsidRPr="00917DA6">
        <w:t xml:space="preserve">. Nous avons notamment libéré des créneaux pour les membres de la CTI durant la semaine du 6 juillet. </w:t>
      </w:r>
    </w:p>
    <w:p w14:paraId="5C8CF4C9" w14:textId="3A80E5A9" w:rsidR="0073133D" w:rsidRPr="00917DA6" w:rsidRDefault="0073133D" w:rsidP="0019299D">
      <w:pPr>
        <w:jc w:val="both"/>
      </w:pPr>
      <w:r w:rsidRPr="00917DA6">
        <w:t xml:space="preserve">Compte tenu de la disponibilité et de la charge de travail des membres et experts de la CTI lors de la reprise normale des activités, nous serons peut-être amenés à revoir la composition des équipes d’audit. Nous ne manquerons pas d’en informer les écoles concernées si c’était le cas. </w:t>
      </w:r>
    </w:p>
    <w:p w14:paraId="078F825C" w14:textId="6436985F" w:rsidR="002649BA" w:rsidRPr="00917DA6" w:rsidRDefault="00E50A15" w:rsidP="0019299D">
      <w:pPr>
        <w:jc w:val="both"/>
      </w:pPr>
      <w:r w:rsidRPr="00917DA6">
        <w:t>La CTI a fait le nécessaire à ce stade pour maintenir le passage en séance plénière de l’année civile 2020 des dossiers des écoles françaises ; certains dossiers internationaux en revanche seront décalés à l’année 2021.</w:t>
      </w:r>
    </w:p>
    <w:p w14:paraId="2697A57A" w14:textId="77777777" w:rsidR="0073133D" w:rsidRPr="00917DA6" w:rsidRDefault="0073133D" w:rsidP="0019299D">
      <w:pPr>
        <w:jc w:val="both"/>
      </w:pPr>
      <w:r w:rsidRPr="00917DA6">
        <w:t xml:space="preserve">En accord avec le </w:t>
      </w:r>
      <w:proofErr w:type="spellStart"/>
      <w:r w:rsidRPr="00917DA6">
        <w:t>Hcéres</w:t>
      </w:r>
      <w:proofErr w:type="spellEnd"/>
      <w:r w:rsidRPr="00917DA6">
        <w:t>, les audits coordonnés CTI-</w:t>
      </w:r>
      <w:proofErr w:type="spellStart"/>
      <w:r w:rsidRPr="00917DA6">
        <w:t>Hcéres</w:t>
      </w:r>
      <w:proofErr w:type="spellEnd"/>
      <w:r w:rsidRPr="00917DA6">
        <w:t xml:space="preserve"> seront menés séparément jusqu’à nouvel ordre.</w:t>
      </w:r>
    </w:p>
    <w:p w14:paraId="5D838E78" w14:textId="253D4043" w:rsidR="005D58CD" w:rsidRPr="00917DA6" w:rsidRDefault="0073133D" w:rsidP="0019299D">
      <w:pPr>
        <w:jc w:val="both"/>
      </w:pPr>
      <w:r w:rsidRPr="00917DA6">
        <w:t>Compte tenu des circonstances actuelles, la CTI a reporté au 1er juin 2020 la date de dépôt des dossiers d’auto-évaluation prévus en avril et mai. Dans le même ordre d’idées, la CTI accepte de reporter le dépôt des dossiers des écoles du mois de juin au 1er juillet.</w:t>
      </w:r>
      <w:r w:rsidR="005D58CD" w:rsidRPr="00917DA6">
        <w:t xml:space="preserve"> </w:t>
      </w:r>
      <w:r w:rsidR="00D05CE6" w:rsidRPr="00917DA6">
        <w:t xml:space="preserve">Les dates </w:t>
      </w:r>
      <w:r w:rsidR="000D4347" w:rsidRPr="00917DA6">
        <w:t xml:space="preserve">ultérieures </w:t>
      </w:r>
      <w:r w:rsidR="00D05CE6" w:rsidRPr="00917DA6">
        <w:t xml:space="preserve">de dépôt des dossiers ne sont pas modifiées pour l’instant. De la même façon, les rapports intermédiaires et plans d’action attendus </w:t>
      </w:r>
      <w:r w:rsidR="000D4347" w:rsidRPr="00917DA6">
        <w:t xml:space="preserve">entre avril et </w:t>
      </w:r>
      <w:r w:rsidR="00D05CE6" w:rsidRPr="00917DA6">
        <w:t>juillet sont reportés au 1</w:t>
      </w:r>
      <w:r w:rsidR="00D05CE6" w:rsidRPr="00917DA6">
        <w:rPr>
          <w:vertAlign w:val="superscript"/>
        </w:rPr>
        <w:t>er</w:t>
      </w:r>
      <w:r w:rsidR="00D05CE6" w:rsidRPr="00917DA6">
        <w:t xml:space="preserve"> septembre. </w:t>
      </w:r>
    </w:p>
    <w:p w14:paraId="5AAEEEE7" w14:textId="4F6FFCF4" w:rsidR="00D05CE6" w:rsidRPr="00917DA6" w:rsidRDefault="000D4347" w:rsidP="0019299D">
      <w:pPr>
        <w:jc w:val="both"/>
        <w:rPr>
          <w:rFonts w:asciiTheme="majorHAnsi" w:hAnsiTheme="majorHAnsi" w:cstheme="majorHAnsi"/>
          <w:color w:val="5B9BD5" w:themeColor="accent1"/>
        </w:rPr>
      </w:pPr>
      <w:r w:rsidRPr="00917DA6">
        <w:rPr>
          <w:rFonts w:asciiTheme="majorHAnsi" w:hAnsiTheme="majorHAnsi" w:cstheme="majorHAnsi"/>
          <w:color w:val="5B9BD5" w:themeColor="accent1"/>
          <w:sz w:val="28"/>
          <w:u w:val="single"/>
        </w:rPr>
        <w:t>En conclusion</w:t>
      </w:r>
    </w:p>
    <w:p w14:paraId="585CE932" w14:textId="6A844045" w:rsidR="00324EFC" w:rsidRPr="00917DA6" w:rsidRDefault="00324EFC" w:rsidP="0019299D">
      <w:pPr>
        <w:jc w:val="both"/>
      </w:pPr>
      <w:r w:rsidRPr="00917DA6">
        <w:t xml:space="preserve">Nous avons </w:t>
      </w:r>
      <w:r w:rsidR="00365792" w:rsidRPr="00917DA6">
        <w:t>pleinement conscience des difficultés auxquelles vous fa</w:t>
      </w:r>
      <w:r w:rsidR="009653C4" w:rsidRPr="00917DA6">
        <w:t>i</w:t>
      </w:r>
      <w:r w:rsidR="00365792" w:rsidRPr="00917DA6">
        <w:t>tes face dans la réalisation de vos missions et dans la mise en œuvre des formations d’ingénieurs et de l’engagement total qui est le vôtre. N’hésitez pas à nous contacter si vous avez des questions spécifiques liées à l’organisation des formations</w:t>
      </w:r>
      <w:r w:rsidR="000D4347" w:rsidRPr="00917DA6">
        <w:t xml:space="preserve"> et/ou des procédures d’accréditation</w:t>
      </w:r>
      <w:r w:rsidR="00365792" w:rsidRPr="00917DA6">
        <w:t xml:space="preserve">, par mail à l’adresse : </w:t>
      </w:r>
      <w:hyperlink r:id="rId7" w:history="1">
        <w:r w:rsidR="00D05CE6" w:rsidRPr="00917DA6">
          <w:rPr>
            <w:rStyle w:val="Lienhypertexte"/>
          </w:rPr>
          <w:t>contact@cti-commission.fr</w:t>
        </w:r>
      </w:hyperlink>
    </w:p>
    <w:p w14:paraId="7B91DC4D" w14:textId="5742BDB9" w:rsidR="00D05CE6" w:rsidRPr="00917DA6" w:rsidRDefault="00D05CE6" w:rsidP="0019299D">
      <w:pPr>
        <w:jc w:val="both"/>
      </w:pPr>
    </w:p>
    <w:p w14:paraId="36754184" w14:textId="27B78C5E" w:rsidR="00D05CE6" w:rsidRPr="00917DA6" w:rsidRDefault="00D05CE6" w:rsidP="0019299D">
      <w:pPr>
        <w:spacing w:after="0"/>
        <w:jc w:val="both"/>
      </w:pPr>
      <w:r w:rsidRPr="00917DA6">
        <w:t>Cordialement,</w:t>
      </w:r>
    </w:p>
    <w:p w14:paraId="4790AA45" w14:textId="77777777" w:rsidR="00D05CE6" w:rsidRPr="00917DA6" w:rsidRDefault="00D05CE6" w:rsidP="0019299D">
      <w:pPr>
        <w:spacing w:after="0"/>
        <w:jc w:val="both"/>
      </w:pPr>
    </w:p>
    <w:p w14:paraId="57AA0FB0" w14:textId="7CA72EEF" w:rsidR="00D05CE6" w:rsidRDefault="00D05CE6" w:rsidP="0019299D">
      <w:pPr>
        <w:jc w:val="both"/>
      </w:pPr>
      <w:r w:rsidRPr="00917DA6">
        <w:rPr>
          <w:noProof/>
          <w:lang w:eastAsia="fr-FR"/>
        </w:rPr>
        <w:drawing>
          <wp:inline distT="0" distB="0" distL="0" distR="0" wp14:anchorId="66317C8F" wp14:editId="4F1BE82F">
            <wp:extent cx="5761355" cy="1755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5C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C799A" w14:textId="77777777" w:rsidR="00674592" w:rsidRDefault="00674592" w:rsidP="003605C8">
      <w:pPr>
        <w:spacing w:after="0" w:line="240" w:lineRule="auto"/>
      </w:pPr>
      <w:r>
        <w:separator/>
      </w:r>
    </w:p>
  </w:endnote>
  <w:endnote w:type="continuationSeparator" w:id="0">
    <w:p w14:paraId="7D657DC1" w14:textId="77777777" w:rsidR="00674592" w:rsidRDefault="00674592" w:rsidP="0036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498746"/>
      <w:docPartObj>
        <w:docPartGallery w:val="Page Numbers (Bottom of Page)"/>
        <w:docPartUnique/>
      </w:docPartObj>
    </w:sdtPr>
    <w:sdtEndPr/>
    <w:sdtContent>
      <w:p w14:paraId="37BF088E" w14:textId="39BC2009" w:rsidR="003605C8" w:rsidRDefault="003605C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EC3">
          <w:rPr>
            <w:noProof/>
          </w:rPr>
          <w:t>2</w:t>
        </w:r>
        <w:r>
          <w:fldChar w:fldCharType="end"/>
        </w:r>
      </w:p>
    </w:sdtContent>
  </w:sdt>
  <w:p w14:paraId="54D88D02" w14:textId="77777777" w:rsidR="003605C8" w:rsidRDefault="003605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AA67D" w14:textId="77777777" w:rsidR="00674592" w:rsidRDefault="00674592" w:rsidP="003605C8">
      <w:pPr>
        <w:spacing w:after="0" w:line="240" w:lineRule="auto"/>
      </w:pPr>
      <w:r>
        <w:separator/>
      </w:r>
    </w:p>
  </w:footnote>
  <w:footnote w:type="continuationSeparator" w:id="0">
    <w:p w14:paraId="00952B91" w14:textId="77777777" w:rsidR="00674592" w:rsidRDefault="00674592" w:rsidP="0036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0431A"/>
    <w:multiLevelType w:val="hybridMultilevel"/>
    <w:tmpl w:val="1352B36A"/>
    <w:lvl w:ilvl="0" w:tplc="08A27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B7"/>
    <w:rsid w:val="00006B04"/>
    <w:rsid w:val="00023D82"/>
    <w:rsid w:val="00041828"/>
    <w:rsid w:val="00060C1A"/>
    <w:rsid w:val="000B3F85"/>
    <w:rsid w:val="000D222F"/>
    <w:rsid w:val="000D4347"/>
    <w:rsid w:val="0019299D"/>
    <w:rsid w:val="001E3960"/>
    <w:rsid w:val="001E7A50"/>
    <w:rsid w:val="00204AED"/>
    <w:rsid w:val="00243299"/>
    <w:rsid w:val="00253EC3"/>
    <w:rsid w:val="002649BA"/>
    <w:rsid w:val="002D3F94"/>
    <w:rsid w:val="002D5D4D"/>
    <w:rsid w:val="00324EFC"/>
    <w:rsid w:val="003605C8"/>
    <w:rsid w:val="00365792"/>
    <w:rsid w:val="00397990"/>
    <w:rsid w:val="003F5662"/>
    <w:rsid w:val="00430AF5"/>
    <w:rsid w:val="00443184"/>
    <w:rsid w:val="0044564B"/>
    <w:rsid w:val="0044729C"/>
    <w:rsid w:val="00464A97"/>
    <w:rsid w:val="004723DA"/>
    <w:rsid w:val="0048297B"/>
    <w:rsid w:val="004A5CF5"/>
    <w:rsid w:val="004F1987"/>
    <w:rsid w:val="00562DAA"/>
    <w:rsid w:val="0058221A"/>
    <w:rsid w:val="00582924"/>
    <w:rsid w:val="005A5B07"/>
    <w:rsid w:val="005D58CD"/>
    <w:rsid w:val="00625342"/>
    <w:rsid w:val="00632265"/>
    <w:rsid w:val="00674592"/>
    <w:rsid w:val="0068769F"/>
    <w:rsid w:val="0069723A"/>
    <w:rsid w:val="006E5863"/>
    <w:rsid w:val="006F1F9E"/>
    <w:rsid w:val="006F7413"/>
    <w:rsid w:val="0073133D"/>
    <w:rsid w:val="007466CC"/>
    <w:rsid w:val="00754947"/>
    <w:rsid w:val="00760469"/>
    <w:rsid w:val="0078742F"/>
    <w:rsid w:val="007A365F"/>
    <w:rsid w:val="007B1A99"/>
    <w:rsid w:val="007E6655"/>
    <w:rsid w:val="0089336A"/>
    <w:rsid w:val="008A038F"/>
    <w:rsid w:val="00904858"/>
    <w:rsid w:val="00915F49"/>
    <w:rsid w:val="00917DA6"/>
    <w:rsid w:val="00946D6A"/>
    <w:rsid w:val="00952046"/>
    <w:rsid w:val="0096539E"/>
    <w:rsid w:val="009653C4"/>
    <w:rsid w:val="009702AE"/>
    <w:rsid w:val="00987F89"/>
    <w:rsid w:val="009D0C7D"/>
    <w:rsid w:val="00AC417E"/>
    <w:rsid w:val="00AD69B7"/>
    <w:rsid w:val="00B24072"/>
    <w:rsid w:val="00B31BF5"/>
    <w:rsid w:val="00B3347A"/>
    <w:rsid w:val="00B46C7E"/>
    <w:rsid w:val="00B73A27"/>
    <w:rsid w:val="00B85908"/>
    <w:rsid w:val="00BA75EE"/>
    <w:rsid w:val="00BE1DB2"/>
    <w:rsid w:val="00C2223A"/>
    <w:rsid w:val="00C23695"/>
    <w:rsid w:val="00C4780E"/>
    <w:rsid w:val="00C57ACB"/>
    <w:rsid w:val="00C629BC"/>
    <w:rsid w:val="00C64E54"/>
    <w:rsid w:val="00C742D9"/>
    <w:rsid w:val="00CC3077"/>
    <w:rsid w:val="00CE4C37"/>
    <w:rsid w:val="00CF7F11"/>
    <w:rsid w:val="00D05CE6"/>
    <w:rsid w:val="00D26AE4"/>
    <w:rsid w:val="00D8397C"/>
    <w:rsid w:val="00DA02AB"/>
    <w:rsid w:val="00DC455C"/>
    <w:rsid w:val="00DF7E89"/>
    <w:rsid w:val="00E47653"/>
    <w:rsid w:val="00E50A15"/>
    <w:rsid w:val="00E50A80"/>
    <w:rsid w:val="00E95583"/>
    <w:rsid w:val="00EC2E34"/>
    <w:rsid w:val="00EC7674"/>
    <w:rsid w:val="00EE59BB"/>
    <w:rsid w:val="00EF4F11"/>
    <w:rsid w:val="00F66326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3D49"/>
  <w15:chartTrackingRefBased/>
  <w15:docId w15:val="{3DCA4120-DD2F-4E78-8562-3F39FBBB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5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3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55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B3F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253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4A5C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5C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5C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5C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5C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CF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05CE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05CE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6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5C8"/>
  </w:style>
  <w:style w:type="paragraph" w:styleId="Pieddepage">
    <w:name w:val="footer"/>
    <w:basedOn w:val="Normal"/>
    <w:link w:val="PieddepageCar"/>
    <w:uiPriority w:val="99"/>
    <w:unhideWhenUsed/>
    <w:rsid w:val="0036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ntact@cti-commissi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1543</Words>
  <Characters>8490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Crépon Elisabeth</dc:creator>
  <cp:keywords/>
  <dc:description/>
  <cp:lastModifiedBy>Crépon Elisabeth</cp:lastModifiedBy>
  <cp:revision>7</cp:revision>
  <dcterms:created xsi:type="dcterms:W3CDTF">2020-03-26T08:14:00Z</dcterms:created>
  <dcterms:modified xsi:type="dcterms:W3CDTF">2020-03-26T08:30:00Z</dcterms:modified>
</cp:coreProperties>
</file>